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A3966" w14:textId="77777777" w:rsidR="00543B7D" w:rsidRPr="00543B7D" w:rsidRDefault="00543B7D" w:rsidP="00543B7D">
      <w:pPr>
        <w:spacing w:after="0" w:line="240" w:lineRule="auto"/>
        <w:textAlignment w:val="baseline"/>
        <w:outlineLvl w:val="0"/>
        <w:rPr>
          <w:rFonts w:ascii="Georgia" w:eastAsia="Times New Roman" w:hAnsi="Georgia" w:cs="Times New Roman"/>
          <w:b/>
          <w:bCs/>
          <w:color w:val="043A59"/>
          <w:kern w:val="36"/>
          <w:sz w:val="48"/>
          <w:szCs w:val="48"/>
          <w14:ligatures w14:val="none"/>
        </w:rPr>
      </w:pPr>
      <w:r w:rsidRPr="00543B7D">
        <w:rPr>
          <w:rFonts w:ascii="Georgia" w:eastAsia="Times New Roman" w:hAnsi="Georgia" w:cs="Times New Roman"/>
          <w:b/>
          <w:bCs/>
          <w:color w:val="043A59"/>
          <w:kern w:val="36"/>
          <w:sz w:val="48"/>
          <w:szCs w:val="48"/>
          <w14:ligatures w14:val="none"/>
        </w:rPr>
        <w:t>Information on LD290 Tax Stabilization Bill</w:t>
      </w:r>
    </w:p>
    <w:p w14:paraId="711802D5" w14:textId="77777777"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b/>
          <w:bCs/>
          <w:color w:val="444444"/>
          <w:kern w:val="0"/>
          <w:sz w:val="24"/>
          <w:szCs w:val="24"/>
          <w:u w:val="single"/>
          <w:bdr w:val="none" w:sz="0" w:space="0" w:color="auto" w:frame="1"/>
          <w14:ligatures w14:val="none"/>
        </w:rPr>
        <w:t>LD 290 “Property Tax Stabilization for Senior Citizens” Repealed by State Legislature</w:t>
      </w:r>
    </w:p>
    <w:p w14:paraId="413193D3" w14:textId="77777777" w:rsidR="00543B7D" w:rsidRPr="00543B7D" w:rsidRDefault="00543B7D" w:rsidP="00543B7D">
      <w:pPr>
        <w:spacing w:before="100" w:beforeAutospacing="1" w:after="10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The LD 290 “Property Tax Stabilization for Senior Citizens” program, enacted in August 2022, was repealed by the Maine Legislature on July 6, 2023, with an effective date of October 11, 2023. The popularly regarded program had allowed Maine seniors 65 and older who owned a permanent residence for at least 10 years and were receiving (or eligible for) a homestead exemption, to freeze taxes at the previous year’s level regardless of income.</w:t>
      </w:r>
    </w:p>
    <w:p w14:paraId="2600D59A" w14:textId="75E53AE4"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The repeal of this program means there will be </w:t>
      </w:r>
      <w:r w:rsidRPr="00543B7D">
        <w:rPr>
          <w:rFonts w:ascii="inherit" w:eastAsia="Times New Roman" w:hAnsi="inherit" w:cs="Times New Roman"/>
          <w:b/>
          <w:bCs/>
          <w:i/>
          <w:iCs/>
          <w:color w:val="444444"/>
          <w:kern w:val="0"/>
          <w:sz w:val="24"/>
          <w:szCs w:val="24"/>
          <w:bdr w:val="none" w:sz="0" w:space="0" w:color="auto" w:frame="1"/>
          <w14:ligatures w14:val="none"/>
        </w:rPr>
        <w:t>no reapplication process</w:t>
      </w:r>
      <w:r w:rsidRPr="00543B7D">
        <w:rPr>
          <w:rFonts w:ascii="inherit" w:eastAsia="Times New Roman" w:hAnsi="inherit" w:cs="Times New Roman"/>
          <w:color w:val="444444"/>
          <w:kern w:val="0"/>
          <w:sz w:val="24"/>
          <w:szCs w:val="24"/>
          <w14:ligatures w14:val="none"/>
        </w:rPr>
        <w:t> and no need to follow-up with the Assessing Department as previously communicated.</w:t>
      </w:r>
    </w:p>
    <w:p w14:paraId="090F4785" w14:textId="32ABBBE3"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 xml:space="preserve">Although the program has been repealed, initial applications will still be administered this year for the upcoming Tax Commitment in </w:t>
      </w:r>
      <w:r>
        <w:rPr>
          <w:rFonts w:ascii="inherit" w:eastAsia="Times New Roman" w:hAnsi="inherit" w:cs="Times New Roman"/>
          <w:color w:val="444444"/>
          <w:kern w:val="0"/>
          <w:sz w:val="24"/>
          <w:szCs w:val="24"/>
          <w14:ligatures w14:val="none"/>
        </w:rPr>
        <w:t>September</w:t>
      </w:r>
      <w:r w:rsidRPr="00543B7D">
        <w:rPr>
          <w:rFonts w:ascii="inherit" w:eastAsia="Times New Roman" w:hAnsi="inherit" w:cs="Times New Roman"/>
          <w:color w:val="444444"/>
          <w:kern w:val="0"/>
          <w:sz w:val="24"/>
          <w:szCs w:val="24"/>
          <w14:ligatures w14:val="none"/>
        </w:rPr>
        <w:t xml:space="preserve"> 2023.  </w:t>
      </w:r>
    </w:p>
    <w:p w14:paraId="2A37733D" w14:textId="02B96BE6"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It is important to note that these are State programs and while the Town plays a role in the administration of them, the Town is not responsible for the policy objectives of these initiatives. Any questions or concerns owners have regarding this program should be directed to your legislative representative</w:t>
      </w:r>
      <w:r>
        <w:rPr>
          <w:rFonts w:ascii="inherit" w:eastAsia="Times New Roman" w:hAnsi="inherit" w:cs="Times New Roman"/>
          <w:color w:val="444444"/>
          <w:kern w:val="0"/>
          <w:sz w:val="24"/>
          <w:szCs w:val="24"/>
          <w14:ligatures w14:val="none"/>
        </w:rPr>
        <w:t>.</w:t>
      </w:r>
    </w:p>
    <w:p w14:paraId="2C4CAE4C" w14:textId="77777777" w:rsidR="00543B7D" w:rsidRPr="00543B7D" w:rsidRDefault="00955594" w:rsidP="00543B7D">
      <w:pPr>
        <w:spacing w:after="0" w:line="240" w:lineRule="auto"/>
        <w:textAlignment w:val="baseline"/>
        <w:rPr>
          <w:rFonts w:ascii="inherit" w:eastAsia="Times New Roman" w:hAnsi="inherit" w:cs="Times New Roman"/>
          <w:color w:val="444444"/>
          <w:kern w:val="0"/>
          <w:sz w:val="24"/>
          <w:szCs w:val="24"/>
          <w14:ligatures w14:val="none"/>
        </w:rPr>
      </w:pPr>
      <w:r>
        <w:rPr>
          <w:rFonts w:ascii="inherit" w:eastAsia="Times New Roman" w:hAnsi="inherit" w:cs="Times New Roman"/>
          <w:color w:val="444444"/>
          <w:kern w:val="0"/>
          <w:sz w:val="24"/>
          <w:szCs w:val="24"/>
          <w14:ligatures w14:val="none"/>
        </w:rPr>
        <w:pict w14:anchorId="5A332FB6">
          <v:rect id="_x0000_i1025" style="width:0;height:.75pt" o:hralign="center" o:hrstd="t" o:hr="t" fillcolor="#a0a0a0" stroked="f"/>
        </w:pict>
      </w:r>
    </w:p>
    <w:p w14:paraId="14C769DC" w14:textId="77777777"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b/>
          <w:bCs/>
          <w:color w:val="444444"/>
          <w:kern w:val="0"/>
          <w:sz w:val="24"/>
          <w:szCs w:val="24"/>
          <w:u w:val="single"/>
          <w:bdr w:val="none" w:sz="0" w:space="0" w:color="auto" w:frame="1"/>
          <w14:ligatures w14:val="none"/>
        </w:rPr>
        <w:t>Two Tax Relief Programs Being Expanded</w:t>
      </w:r>
      <w:r w:rsidRPr="00543B7D">
        <w:rPr>
          <w:rFonts w:ascii="inherit" w:eastAsia="Times New Roman" w:hAnsi="inherit" w:cs="Times New Roman"/>
          <w:color w:val="444444"/>
          <w:kern w:val="0"/>
          <w:sz w:val="24"/>
          <w:szCs w:val="24"/>
          <w14:ligatures w14:val="none"/>
        </w:rPr>
        <w:br/>
      </w:r>
      <w:r w:rsidRPr="00543B7D">
        <w:rPr>
          <w:rFonts w:ascii="inherit" w:eastAsia="Times New Roman" w:hAnsi="inherit" w:cs="Times New Roman"/>
          <w:i/>
          <w:iCs/>
          <w:color w:val="444444"/>
          <w:kern w:val="0"/>
          <w:sz w:val="24"/>
          <w:szCs w:val="24"/>
          <w:bdr w:val="none" w:sz="0" w:space="0" w:color="auto" w:frame="1"/>
          <w14:ligatures w14:val="none"/>
        </w:rPr>
        <w:t>Two existing State programs benefiting low-income seniors to be expanded.  </w:t>
      </w:r>
      <w:r w:rsidRPr="00543B7D">
        <w:rPr>
          <w:rFonts w:ascii="inherit" w:eastAsia="Times New Roman" w:hAnsi="inherit" w:cs="Times New Roman"/>
          <w:color w:val="444444"/>
          <w:kern w:val="0"/>
          <w:sz w:val="24"/>
          <w:szCs w:val="24"/>
          <w14:ligatures w14:val="none"/>
        </w:rPr>
        <w:t>To help lower-income seniors avoid higher property taxes and remain in their homes, two existing State programs are being expanded:</w:t>
      </w:r>
    </w:p>
    <w:p w14:paraId="4134E501" w14:textId="29B64C16" w:rsidR="00543B7D" w:rsidRPr="00543B7D" w:rsidRDefault="00543B7D" w:rsidP="00543B7D">
      <w:pPr>
        <w:spacing w:beforeAutospacing="1" w:after="0" w:afterAutospacing="1"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1. </w:t>
      </w:r>
      <w:r w:rsidRPr="00543B7D">
        <w:rPr>
          <w:rFonts w:ascii="inherit" w:eastAsia="Times New Roman" w:hAnsi="inherit" w:cs="Times New Roman"/>
          <w:b/>
          <w:bCs/>
          <w:color w:val="444444"/>
          <w:kern w:val="0"/>
          <w:sz w:val="24"/>
          <w:szCs w:val="24"/>
          <w:bdr w:val="none" w:sz="0" w:space="0" w:color="auto" w:frame="1"/>
          <w14:ligatures w14:val="none"/>
        </w:rPr>
        <w:t>The Property Tax Fairness Credit</w:t>
      </w:r>
      <w:r w:rsidRPr="00543B7D">
        <w:rPr>
          <w:rFonts w:ascii="inherit" w:eastAsia="Times New Roman" w:hAnsi="inherit" w:cs="Times New Roman"/>
          <w:color w:val="444444"/>
          <w:kern w:val="0"/>
          <w:sz w:val="24"/>
          <w:szCs w:val="24"/>
          <w14:ligatures w14:val="none"/>
        </w:rPr>
        <w:t>, which currently allows eligible Mainers to take a $1,500 credit, has increased to $2,000; it also loosens limits on the program in a way that allows the benefits to remain constant for a Mainer whose spouse passes away. </w:t>
      </w:r>
      <w:r w:rsidRPr="00543B7D">
        <w:rPr>
          <w:rFonts w:ascii="inherit" w:eastAsia="Times New Roman" w:hAnsi="inherit" w:cs="Times New Roman"/>
          <w:b/>
          <w:bCs/>
          <w:i/>
          <w:iCs/>
          <w:color w:val="444444"/>
          <w:kern w:val="0"/>
          <w:sz w:val="24"/>
          <w:szCs w:val="24"/>
          <w:bdr w:val="none" w:sz="0" w:space="0" w:color="auto" w:frame="1"/>
          <w14:ligatures w14:val="none"/>
        </w:rPr>
        <w:t>Note:</w:t>
      </w:r>
      <w:r w:rsidRPr="00543B7D">
        <w:rPr>
          <w:rFonts w:ascii="inherit" w:eastAsia="Times New Roman" w:hAnsi="inherit" w:cs="Times New Roman"/>
          <w:color w:val="444444"/>
          <w:kern w:val="0"/>
          <w:sz w:val="24"/>
          <w:szCs w:val="24"/>
          <w14:ligatures w14:val="none"/>
        </w:rPr>
        <w:t> This program is not administered by the </w:t>
      </w:r>
      <w:r w:rsidRPr="00543B7D">
        <w:rPr>
          <w:rFonts w:ascii="inherit" w:eastAsia="Times New Roman" w:hAnsi="inherit" w:cs="Times New Roman"/>
          <w:b/>
          <w:bCs/>
          <w:color w:val="444444"/>
          <w:kern w:val="0"/>
          <w:sz w:val="24"/>
          <w:szCs w:val="24"/>
          <w:bdr w:val="none" w:sz="0" w:space="0" w:color="auto" w:frame="1"/>
          <w14:ligatures w14:val="none"/>
        </w:rPr>
        <w:t>Town of</w:t>
      </w:r>
      <w:r w:rsidRPr="00543B7D">
        <w:rPr>
          <w:rFonts w:ascii="inherit" w:eastAsia="Times New Roman" w:hAnsi="inherit" w:cs="Times New Roman"/>
          <w:color w:val="444444"/>
          <w:kern w:val="0"/>
          <w:sz w:val="24"/>
          <w:szCs w:val="24"/>
          <w14:ligatures w14:val="none"/>
        </w:rPr>
        <w:t> </w:t>
      </w:r>
      <w:r w:rsidRPr="00543B7D">
        <w:rPr>
          <w:rFonts w:ascii="inherit" w:eastAsia="Times New Roman" w:hAnsi="inherit" w:cs="Times New Roman"/>
          <w:b/>
          <w:bCs/>
          <w:color w:val="444444"/>
          <w:kern w:val="0"/>
          <w:sz w:val="24"/>
          <w:szCs w:val="24"/>
          <w:bdr w:val="none" w:sz="0" w:space="0" w:color="auto" w:frame="1"/>
          <w14:ligatures w14:val="none"/>
        </w:rPr>
        <w:t>B</w:t>
      </w:r>
      <w:r>
        <w:rPr>
          <w:rFonts w:ascii="inherit" w:eastAsia="Times New Roman" w:hAnsi="inherit" w:cs="Times New Roman"/>
          <w:b/>
          <w:bCs/>
          <w:color w:val="444444"/>
          <w:kern w:val="0"/>
          <w:sz w:val="24"/>
          <w:szCs w:val="24"/>
          <w:bdr w:val="none" w:sz="0" w:space="0" w:color="auto" w:frame="1"/>
          <w14:ligatures w14:val="none"/>
        </w:rPr>
        <w:t>ethel</w:t>
      </w:r>
      <w:r w:rsidRPr="00543B7D">
        <w:rPr>
          <w:rFonts w:ascii="inherit" w:eastAsia="Times New Roman" w:hAnsi="inherit" w:cs="Times New Roman"/>
          <w:color w:val="444444"/>
          <w:kern w:val="0"/>
          <w:sz w:val="24"/>
          <w:szCs w:val="24"/>
          <w14:ligatures w14:val="none"/>
        </w:rPr>
        <w:t>; to claim the credit, you must file Form 1040ME and Schedule PTFC/STFC for the tax year during which the property tax or rent was paid. For help, call 207-624-9784.  For more info, please visit: </w:t>
      </w:r>
      <w:hyperlink r:id="rId4" w:anchor=":~:text=For%20help%2C%20call%20207%2D624,Closed%20on%20State%20recognized%20holidays." w:tgtFrame="_blank" w:history="1">
        <w:r w:rsidRPr="00543B7D">
          <w:rPr>
            <w:rFonts w:ascii="inherit" w:eastAsia="Times New Roman" w:hAnsi="inherit" w:cs="Times New Roman"/>
            <w:color w:val="164B39"/>
            <w:kern w:val="0"/>
            <w:sz w:val="24"/>
            <w:szCs w:val="24"/>
            <w:u w:val="single"/>
            <w:bdr w:val="none" w:sz="0" w:space="0" w:color="auto" w:frame="1"/>
            <w14:ligatures w14:val="none"/>
          </w:rPr>
          <w:t>Property Tax Fairness Credit Summary</w:t>
        </w:r>
      </w:hyperlink>
      <w:r w:rsidRPr="00543B7D">
        <w:rPr>
          <w:rFonts w:ascii="inherit" w:eastAsia="Times New Roman" w:hAnsi="inherit" w:cs="Times New Roman"/>
          <w:color w:val="444444"/>
          <w:kern w:val="0"/>
          <w:sz w:val="24"/>
          <w:szCs w:val="24"/>
          <w14:ligatures w14:val="none"/>
        </w:rPr>
        <w:t>.</w:t>
      </w:r>
      <w:r w:rsidRPr="00543B7D">
        <w:rPr>
          <w:rFonts w:ascii="inherit" w:eastAsia="Times New Roman" w:hAnsi="inherit" w:cs="Times New Roman"/>
          <w:color w:val="444444"/>
          <w:kern w:val="0"/>
          <w:sz w:val="24"/>
          <w:szCs w:val="24"/>
          <w14:ligatures w14:val="none"/>
        </w:rPr>
        <w:br/>
        <w:t> </w:t>
      </w:r>
    </w:p>
    <w:p w14:paraId="2542272A" w14:textId="24A45A28" w:rsidR="00543B7D" w:rsidRPr="00543B7D" w:rsidRDefault="00543B7D" w:rsidP="00543B7D">
      <w:pPr>
        <w:spacing w:after="0" w:line="240" w:lineRule="auto"/>
        <w:textAlignment w:val="baseline"/>
        <w:rPr>
          <w:rFonts w:ascii="inherit" w:eastAsia="Times New Roman" w:hAnsi="inherit" w:cs="Times New Roman"/>
          <w:color w:val="444444"/>
          <w:kern w:val="0"/>
          <w:sz w:val="24"/>
          <w:szCs w:val="24"/>
          <w14:ligatures w14:val="none"/>
        </w:rPr>
      </w:pPr>
      <w:r w:rsidRPr="00543B7D">
        <w:rPr>
          <w:rFonts w:ascii="inherit" w:eastAsia="Times New Roman" w:hAnsi="inherit" w:cs="Times New Roman"/>
          <w:color w:val="444444"/>
          <w:kern w:val="0"/>
          <w:sz w:val="24"/>
          <w:szCs w:val="24"/>
          <w14:ligatures w14:val="none"/>
        </w:rPr>
        <w:t>2. </w:t>
      </w:r>
      <w:r w:rsidRPr="00543B7D">
        <w:rPr>
          <w:rFonts w:ascii="inherit" w:eastAsia="Times New Roman" w:hAnsi="inherit" w:cs="Times New Roman"/>
          <w:b/>
          <w:bCs/>
          <w:color w:val="444444"/>
          <w:kern w:val="0"/>
          <w:sz w:val="24"/>
          <w:szCs w:val="24"/>
          <w:bdr w:val="none" w:sz="0" w:space="0" w:color="auto" w:frame="1"/>
          <w14:ligatures w14:val="none"/>
        </w:rPr>
        <w:t>The</w:t>
      </w:r>
      <w:r w:rsidRPr="00543B7D">
        <w:rPr>
          <w:rFonts w:ascii="inherit" w:eastAsia="Times New Roman" w:hAnsi="inherit" w:cs="Times New Roman"/>
          <w:color w:val="444444"/>
          <w:kern w:val="0"/>
          <w:sz w:val="24"/>
          <w:szCs w:val="24"/>
          <w14:ligatures w14:val="none"/>
        </w:rPr>
        <w:t> </w:t>
      </w:r>
      <w:r w:rsidRPr="00543B7D">
        <w:rPr>
          <w:rFonts w:ascii="inherit" w:eastAsia="Times New Roman" w:hAnsi="inherit" w:cs="Times New Roman"/>
          <w:b/>
          <w:bCs/>
          <w:color w:val="444444"/>
          <w:kern w:val="0"/>
          <w:sz w:val="24"/>
          <w:szCs w:val="24"/>
          <w:bdr w:val="none" w:sz="0" w:space="0" w:color="auto" w:frame="1"/>
          <w14:ligatures w14:val="none"/>
        </w:rPr>
        <w:t>State Property Tax Deferral Program</w:t>
      </w:r>
      <w:r w:rsidRPr="00543B7D">
        <w:rPr>
          <w:rFonts w:ascii="inherit" w:eastAsia="Times New Roman" w:hAnsi="inherit" w:cs="Times New Roman"/>
          <w:color w:val="444444"/>
          <w:kern w:val="0"/>
          <w:sz w:val="24"/>
          <w:szCs w:val="24"/>
          <w14:ligatures w14:val="none"/>
        </w:rPr>
        <w:t>, a lifeline loan program that covers the annual property tax bills of Maine seniors age 65 and older who cannot afford to pay them on their own, has been expanded. It doubles the income limit on that program to $80,000 and also raises asset limits. Taxes must be paid back when the home is sold or becomes part of an estate. </w:t>
      </w:r>
      <w:r w:rsidRPr="00543B7D">
        <w:rPr>
          <w:rFonts w:ascii="inherit" w:eastAsia="Times New Roman" w:hAnsi="inherit" w:cs="Times New Roman"/>
          <w:b/>
          <w:bCs/>
          <w:i/>
          <w:iCs/>
          <w:color w:val="444444"/>
          <w:kern w:val="0"/>
          <w:sz w:val="24"/>
          <w:szCs w:val="24"/>
          <w:bdr w:val="none" w:sz="0" w:space="0" w:color="auto" w:frame="1"/>
          <w14:ligatures w14:val="none"/>
        </w:rPr>
        <w:t>Note:</w:t>
      </w:r>
      <w:r w:rsidRPr="00543B7D">
        <w:rPr>
          <w:rFonts w:ascii="inherit" w:eastAsia="Times New Roman" w:hAnsi="inherit" w:cs="Times New Roman"/>
          <w:color w:val="444444"/>
          <w:kern w:val="0"/>
          <w:sz w:val="24"/>
          <w:szCs w:val="24"/>
          <w14:ligatures w14:val="none"/>
        </w:rPr>
        <w:t> This program is not administered by the </w:t>
      </w:r>
      <w:r w:rsidRPr="00543B7D">
        <w:rPr>
          <w:rFonts w:ascii="inherit" w:eastAsia="Times New Roman" w:hAnsi="inherit" w:cs="Times New Roman"/>
          <w:b/>
          <w:bCs/>
          <w:color w:val="444444"/>
          <w:kern w:val="0"/>
          <w:sz w:val="24"/>
          <w:szCs w:val="24"/>
          <w:bdr w:val="none" w:sz="0" w:space="0" w:color="auto" w:frame="1"/>
          <w14:ligatures w14:val="none"/>
        </w:rPr>
        <w:t>Town of B</w:t>
      </w:r>
      <w:r>
        <w:rPr>
          <w:rFonts w:ascii="inherit" w:eastAsia="Times New Roman" w:hAnsi="inherit" w:cs="Times New Roman"/>
          <w:b/>
          <w:bCs/>
          <w:color w:val="444444"/>
          <w:kern w:val="0"/>
          <w:sz w:val="24"/>
          <w:szCs w:val="24"/>
          <w:bdr w:val="none" w:sz="0" w:space="0" w:color="auto" w:frame="1"/>
          <w14:ligatures w14:val="none"/>
        </w:rPr>
        <w:t>ethel</w:t>
      </w:r>
      <w:r w:rsidRPr="00543B7D">
        <w:rPr>
          <w:rFonts w:ascii="inherit" w:eastAsia="Times New Roman" w:hAnsi="inherit" w:cs="Times New Roman"/>
          <w:color w:val="444444"/>
          <w:kern w:val="0"/>
          <w:sz w:val="24"/>
          <w:szCs w:val="24"/>
          <w14:ligatures w14:val="none"/>
        </w:rPr>
        <w:t xml:space="preserve">; questions </w:t>
      </w:r>
      <w:r w:rsidRPr="00543B7D">
        <w:rPr>
          <w:rFonts w:ascii="inherit" w:eastAsia="Times New Roman" w:hAnsi="inherit" w:cs="Times New Roman"/>
          <w:color w:val="444444"/>
          <w:kern w:val="0"/>
          <w:sz w:val="24"/>
          <w:szCs w:val="24"/>
          <w14:ligatures w14:val="none"/>
        </w:rPr>
        <w:lastRenderedPageBreak/>
        <w:t>on this State managed program can be referred to Maine Revenue Services, Property Tax Division, at 207-624-5600 or </w:t>
      </w:r>
      <w:hyperlink r:id="rId5" w:history="1">
        <w:r w:rsidRPr="00543B7D">
          <w:rPr>
            <w:rFonts w:ascii="inherit" w:eastAsia="Times New Roman" w:hAnsi="inherit" w:cs="Times New Roman"/>
            <w:color w:val="164B39"/>
            <w:kern w:val="0"/>
            <w:sz w:val="24"/>
            <w:szCs w:val="24"/>
            <w:u w:val="single"/>
            <w:bdr w:val="none" w:sz="0" w:space="0" w:color="auto" w:frame="1"/>
            <w14:ligatures w14:val="none"/>
          </w:rPr>
          <w:t>prop.tax@maine.gov</w:t>
        </w:r>
      </w:hyperlink>
      <w:r w:rsidRPr="00543B7D">
        <w:rPr>
          <w:rFonts w:ascii="inherit" w:eastAsia="Times New Roman" w:hAnsi="inherit" w:cs="Times New Roman"/>
          <w:color w:val="444444"/>
          <w:kern w:val="0"/>
          <w:sz w:val="24"/>
          <w:szCs w:val="24"/>
          <w14:ligatures w14:val="none"/>
        </w:rPr>
        <w:t>. For more info, please visit: </w:t>
      </w:r>
      <w:hyperlink r:id="rId6" w:tgtFrame="_blank" w:history="1">
        <w:r w:rsidRPr="00543B7D">
          <w:rPr>
            <w:rFonts w:ascii="inherit" w:eastAsia="Times New Roman" w:hAnsi="inherit" w:cs="Times New Roman"/>
            <w:color w:val="164B39"/>
            <w:kern w:val="0"/>
            <w:sz w:val="24"/>
            <w:szCs w:val="24"/>
            <w:u w:val="single"/>
            <w:bdr w:val="none" w:sz="0" w:space="0" w:color="auto" w:frame="1"/>
            <w14:ligatures w14:val="none"/>
          </w:rPr>
          <w:t>State Property Tax Deferral Program</w:t>
        </w:r>
      </w:hyperlink>
      <w:r w:rsidRPr="00543B7D">
        <w:rPr>
          <w:rFonts w:ascii="inherit" w:eastAsia="Times New Roman" w:hAnsi="inherit" w:cs="Times New Roman"/>
          <w:color w:val="444444"/>
          <w:kern w:val="0"/>
          <w:sz w:val="24"/>
          <w:szCs w:val="24"/>
          <w14:ligatures w14:val="none"/>
        </w:rPr>
        <w:t>.</w:t>
      </w:r>
    </w:p>
    <w:p w14:paraId="145FBF9E" w14:textId="77777777" w:rsidR="00614D05" w:rsidRDefault="00614D05"/>
    <w:sectPr w:rsidR="00614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7D"/>
    <w:rsid w:val="00543B7D"/>
    <w:rsid w:val="00614D05"/>
    <w:rsid w:val="00942AA2"/>
    <w:rsid w:val="0095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8A2665"/>
  <w15:chartTrackingRefBased/>
  <w15:docId w15:val="{F9D67432-2D18-453F-9DA1-7C0DE2ED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95735">
      <w:bodyDiv w:val="1"/>
      <w:marLeft w:val="0"/>
      <w:marRight w:val="0"/>
      <w:marTop w:val="0"/>
      <w:marBottom w:val="0"/>
      <w:divBdr>
        <w:top w:val="none" w:sz="0" w:space="0" w:color="auto"/>
        <w:left w:val="none" w:sz="0" w:space="0" w:color="auto"/>
        <w:bottom w:val="none" w:sz="0" w:space="0" w:color="auto"/>
        <w:right w:val="none" w:sz="0" w:space="0" w:color="auto"/>
      </w:divBdr>
      <w:divsChild>
        <w:div w:id="1718119855">
          <w:marLeft w:val="0"/>
          <w:marRight w:val="0"/>
          <w:marTop w:val="0"/>
          <w:marBottom w:val="0"/>
          <w:divBdr>
            <w:top w:val="none" w:sz="0" w:space="0" w:color="auto"/>
            <w:left w:val="none" w:sz="0" w:space="0" w:color="auto"/>
            <w:bottom w:val="none" w:sz="0" w:space="0" w:color="auto"/>
            <w:right w:val="none" w:sz="0" w:space="0" w:color="auto"/>
          </w:divBdr>
        </w:div>
        <w:div w:id="982462764">
          <w:marLeft w:val="0"/>
          <w:marRight w:val="0"/>
          <w:marTop w:val="0"/>
          <w:marBottom w:val="0"/>
          <w:divBdr>
            <w:top w:val="none" w:sz="0" w:space="0" w:color="auto"/>
            <w:left w:val="none" w:sz="0" w:space="0" w:color="auto"/>
            <w:bottom w:val="none" w:sz="0" w:space="0" w:color="auto"/>
            <w:right w:val="none" w:sz="0" w:space="0" w:color="auto"/>
          </w:divBdr>
          <w:divsChild>
            <w:div w:id="173496071">
              <w:marLeft w:val="0"/>
              <w:marRight w:val="0"/>
              <w:marTop w:val="0"/>
              <w:marBottom w:val="0"/>
              <w:divBdr>
                <w:top w:val="none" w:sz="0" w:space="0" w:color="auto"/>
                <w:left w:val="none" w:sz="0" w:space="0" w:color="auto"/>
                <w:bottom w:val="none" w:sz="0" w:space="0" w:color="auto"/>
                <w:right w:val="none" w:sz="0" w:space="0" w:color="auto"/>
              </w:divBdr>
              <w:divsChild>
                <w:div w:id="741291395">
                  <w:marLeft w:val="0"/>
                  <w:marRight w:val="0"/>
                  <w:marTop w:val="0"/>
                  <w:marBottom w:val="0"/>
                  <w:divBdr>
                    <w:top w:val="none" w:sz="0" w:space="0" w:color="auto"/>
                    <w:left w:val="none" w:sz="0" w:space="0" w:color="auto"/>
                    <w:bottom w:val="none" w:sz="0" w:space="0" w:color="auto"/>
                    <w:right w:val="none" w:sz="0" w:space="0" w:color="auto"/>
                  </w:divBdr>
                  <w:divsChild>
                    <w:div w:id="1444426026">
                      <w:marLeft w:val="0"/>
                      <w:marRight w:val="0"/>
                      <w:marTop w:val="0"/>
                      <w:marBottom w:val="0"/>
                      <w:divBdr>
                        <w:top w:val="none" w:sz="0" w:space="0" w:color="auto"/>
                        <w:left w:val="none" w:sz="0" w:space="0" w:color="auto"/>
                        <w:bottom w:val="none" w:sz="0" w:space="0" w:color="auto"/>
                        <w:right w:val="none" w:sz="0" w:space="0" w:color="auto"/>
                      </w:divBdr>
                      <w:divsChild>
                        <w:div w:id="937105505">
                          <w:marLeft w:val="0"/>
                          <w:marRight w:val="0"/>
                          <w:marTop w:val="0"/>
                          <w:marBottom w:val="0"/>
                          <w:divBdr>
                            <w:top w:val="none" w:sz="0" w:space="0" w:color="auto"/>
                            <w:left w:val="none" w:sz="0" w:space="0" w:color="auto"/>
                            <w:bottom w:val="none" w:sz="0" w:space="0" w:color="auto"/>
                            <w:right w:val="none" w:sz="0" w:space="0" w:color="auto"/>
                          </w:divBdr>
                          <w:divsChild>
                            <w:div w:id="26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revenue/taxes/tax-relief-credits-programs/property-tax-relief-programs/deferral-program" TargetMode="External"/><Relationship Id="rId5" Type="http://schemas.openxmlformats.org/officeDocument/2006/relationships/hyperlink" Target="mailto:prop.tax@maine.gov" TargetMode="External"/><Relationship Id="rId4" Type="http://schemas.openxmlformats.org/officeDocument/2006/relationships/hyperlink" Target="https://www.maine.gov/revenue/taxes/tax-relief-credits-programs/income-tax-credits/property-tax-fairness-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2586</Characters>
  <Application>Microsoft Office Word</Application>
  <DocSecurity>4</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McPherson</dc:creator>
  <cp:keywords/>
  <dc:description/>
  <cp:lastModifiedBy>Becky Michaud</cp:lastModifiedBy>
  <cp:revision>2</cp:revision>
  <dcterms:created xsi:type="dcterms:W3CDTF">2023-08-02T15:28:00Z</dcterms:created>
  <dcterms:modified xsi:type="dcterms:W3CDTF">2023-08-02T15:28:00Z</dcterms:modified>
</cp:coreProperties>
</file>