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AFC3" w14:textId="77777777" w:rsidR="00491CE6" w:rsidRDefault="00D43535">
      <w:pPr>
        <w:pBdr>
          <w:bottom w:val="single" w:sz="6" w:space="4" w:color="1F5C99"/>
        </w:pBdr>
        <w:spacing w:after="80"/>
        <w:jc w:val="center"/>
      </w:pPr>
      <w:r>
        <w:rPr>
          <w:b/>
          <w:bCs/>
          <w:color w:val="1F5C99"/>
          <w:sz w:val="40"/>
          <w:szCs w:val="40"/>
        </w:rPr>
        <w:t>TOWN OF BETHEL</w:t>
      </w:r>
    </w:p>
    <w:p w14:paraId="28C9C3BA" w14:textId="77777777" w:rsidR="00491CE6" w:rsidRDefault="00D43535">
      <w:pPr>
        <w:spacing w:before="120" w:after="60"/>
        <w:jc w:val="center"/>
      </w:pPr>
      <w:r>
        <w:rPr>
          <w:b/>
          <w:bCs/>
          <w:sz w:val="28"/>
          <w:szCs w:val="28"/>
        </w:rPr>
        <w:t>Bethel Regional Airport (0B1)</w:t>
      </w:r>
    </w:p>
    <w:p w14:paraId="5F668206" w14:textId="77777777" w:rsidR="00491CE6" w:rsidRDefault="00D43535">
      <w:pPr>
        <w:spacing w:after="60"/>
        <w:jc w:val="center"/>
      </w:pPr>
      <w:r>
        <w:rPr>
          <w:b/>
          <w:bCs/>
          <w:color w:val="444444"/>
          <w:sz w:val="24"/>
          <w:szCs w:val="24"/>
        </w:rPr>
        <w:t>Request for Qualifications — Engineering &amp; Planning Services</w:t>
      </w:r>
    </w:p>
    <w:p w14:paraId="7A96F6A5" w14:textId="77777777" w:rsidR="00491CE6" w:rsidRDefault="00D43535">
      <w:pPr>
        <w:pBdr>
          <w:bottom w:val="single" w:sz="6" w:space="4" w:color="1F5C99"/>
        </w:pBdr>
        <w:spacing w:after="240"/>
        <w:jc w:val="center"/>
      </w:pPr>
      <w:r>
        <w:rPr>
          <w:b/>
          <w:bCs/>
          <w:color w:val="1F5C99"/>
          <w:sz w:val="24"/>
          <w:szCs w:val="24"/>
        </w:rPr>
        <w:t>RFQ #0B1 | Questions &amp; Answers</w:t>
      </w:r>
    </w:p>
    <w:p w14:paraId="0C810950" w14:textId="77777777" w:rsidR="00491CE6" w:rsidRDefault="00D43535">
      <w:pPr>
        <w:spacing w:before="160" w:after="200"/>
      </w:pPr>
      <w:r>
        <w:rPr>
          <w:i/>
          <w:iCs/>
          <w:color w:val="555555"/>
        </w:rPr>
        <w:t>The following questions were received from prospective respondents regarding RFQ #0B1. All questions have been reviewed and consolidated to eliminate duplicates. Answers provided herein are official and supersede any prior informal communications.</w:t>
      </w:r>
    </w:p>
    <w:p w14:paraId="4D4EEECB" w14:textId="77777777" w:rsidR="00491CE6" w:rsidRDefault="00491CE6">
      <w:pPr>
        <w:pBdr>
          <w:bottom w:val="single" w:sz="4" w:space="4" w:color="1F5C99"/>
        </w:pBdr>
        <w:spacing w:before="80" w:after="80"/>
      </w:pPr>
    </w:p>
    <w:p w14:paraId="682BCC71" w14:textId="77777777" w:rsidR="00491CE6" w:rsidRDefault="00D43535">
      <w:pPr>
        <w:spacing w:before="200" w:after="60"/>
      </w:pPr>
      <w:r>
        <w:rPr>
          <w:b/>
          <w:bCs/>
          <w:color w:val="1F5C99"/>
        </w:rPr>
        <w:t xml:space="preserve">Q: </w:t>
      </w:r>
      <w:r>
        <w:rPr>
          <w:b/>
          <w:bCs/>
        </w:rPr>
        <w:t>1.  What is the correct RFQ number to use in all correspondence and submissions?</w:t>
      </w:r>
    </w:p>
    <w:p w14:paraId="734EFE10" w14:textId="77777777" w:rsidR="00491CE6" w:rsidRDefault="00D43535">
      <w:pPr>
        <w:spacing w:before="60" w:after="160"/>
        <w:ind w:left="360"/>
      </w:pPr>
      <w:r>
        <w:rPr>
          <w:b/>
          <w:bCs/>
          <w:color w:val="2E7D32"/>
        </w:rPr>
        <w:t xml:space="preserve">A: </w:t>
      </w:r>
      <w:r>
        <w:t>The RFQ number is 0B1. Please use RFQ #0B1 throughout your submission and all correspondence.</w:t>
      </w:r>
    </w:p>
    <w:p w14:paraId="3875A50C" w14:textId="77777777" w:rsidR="00491CE6" w:rsidRDefault="00491CE6">
      <w:pPr>
        <w:pBdr>
          <w:bottom w:val="single" w:sz="4" w:space="4" w:color="1F5C99"/>
        </w:pBdr>
        <w:spacing w:before="80" w:after="80"/>
      </w:pPr>
    </w:p>
    <w:p w14:paraId="14499328" w14:textId="77777777" w:rsidR="00491CE6" w:rsidRDefault="00D43535">
      <w:pPr>
        <w:spacing w:before="200" w:after="60"/>
      </w:pPr>
      <w:r>
        <w:rPr>
          <w:b/>
          <w:bCs/>
          <w:color w:val="1F5C99"/>
        </w:rPr>
        <w:t xml:space="preserve">Q: </w:t>
      </w:r>
      <w:r>
        <w:rPr>
          <w:b/>
          <w:bCs/>
        </w:rPr>
        <w:t>2.  Section 2 references an RFQ number for correspondence but does not state it explicitly. Can you confirm?</w:t>
      </w:r>
    </w:p>
    <w:p w14:paraId="659F182E" w14:textId="77777777" w:rsidR="00491CE6" w:rsidRDefault="00D43535">
      <w:pPr>
        <w:spacing w:before="60" w:after="160"/>
        <w:ind w:left="360"/>
      </w:pPr>
      <w:r>
        <w:rPr>
          <w:b/>
          <w:bCs/>
          <w:color w:val="2E7D32"/>
        </w:rPr>
        <w:t xml:space="preserve">A: </w:t>
      </w:r>
      <w:r>
        <w:t>The RFQ number to be used throughout the document and all correspondence is 0B1.</w:t>
      </w:r>
    </w:p>
    <w:p w14:paraId="236F94D3" w14:textId="77777777" w:rsidR="00491CE6" w:rsidRDefault="00491CE6">
      <w:pPr>
        <w:pBdr>
          <w:bottom w:val="single" w:sz="4" w:space="4" w:color="1F5C99"/>
        </w:pBdr>
        <w:spacing w:before="80" w:after="80"/>
      </w:pPr>
    </w:p>
    <w:p w14:paraId="0AAD1CA7" w14:textId="77777777" w:rsidR="00491CE6" w:rsidRDefault="00D43535">
      <w:pPr>
        <w:spacing w:before="200" w:after="60"/>
      </w:pPr>
      <w:r>
        <w:rPr>
          <w:b/>
          <w:bCs/>
          <w:color w:val="1F5C99"/>
        </w:rPr>
        <w:t xml:space="preserve">Q: </w:t>
      </w:r>
      <w:r>
        <w:rPr>
          <w:b/>
          <w:bCs/>
        </w:rPr>
        <w:t>3.  Section 5A references Appendix A (General Information Form), which was not included with the RFQ. Is it available?</w:t>
      </w:r>
    </w:p>
    <w:p w14:paraId="2E30D669" w14:textId="77777777" w:rsidR="00491CE6" w:rsidRDefault="00D43535">
      <w:pPr>
        <w:spacing w:before="60" w:after="160"/>
        <w:ind w:left="360"/>
      </w:pPr>
      <w:r>
        <w:rPr>
          <w:b/>
          <w:bCs/>
          <w:color w:val="2E7D32"/>
        </w:rPr>
        <w:t xml:space="preserve">A: </w:t>
      </w:r>
      <w:r>
        <w:t>Yes. Appendix A (General Information Form) has been posted to the Town website for download.</w:t>
      </w:r>
    </w:p>
    <w:p w14:paraId="229E4646" w14:textId="77777777" w:rsidR="00491CE6" w:rsidRDefault="00491CE6">
      <w:pPr>
        <w:pBdr>
          <w:bottom w:val="single" w:sz="4" w:space="4" w:color="1F5C99"/>
        </w:pBdr>
        <w:spacing w:before="80" w:after="80"/>
      </w:pPr>
    </w:p>
    <w:p w14:paraId="2CFAB3E3" w14:textId="77777777" w:rsidR="00491CE6" w:rsidRDefault="00D43535">
      <w:pPr>
        <w:spacing w:before="200" w:after="60"/>
      </w:pPr>
      <w:r>
        <w:rPr>
          <w:b/>
          <w:bCs/>
          <w:color w:val="1F5C99"/>
        </w:rPr>
        <w:t xml:space="preserve">Q: </w:t>
      </w:r>
      <w:r>
        <w:rPr>
          <w:b/>
          <w:bCs/>
        </w:rPr>
        <w:t>4.  Section 5C states that responders must provide five (5) similar projects. May a firm submit more than five given the eleven anticipated projects listed in Paragraph 4?</w:t>
      </w:r>
    </w:p>
    <w:p w14:paraId="28D3D7BE" w14:textId="77777777" w:rsidR="00491CE6" w:rsidRDefault="00D43535">
      <w:pPr>
        <w:spacing w:before="60" w:after="160"/>
        <w:ind w:left="360"/>
      </w:pPr>
      <w:r>
        <w:rPr>
          <w:b/>
          <w:bCs/>
          <w:color w:val="2E7D32"/>
        </w:rPr>
        <w:t xml:space="preserve">A: </w:t>
      </w:r>
      <w:r>
        <w:t>Submitting more than five similar projects is permitted, with the caveat that each additional project should be specifically connected to one of the anticipated projects listed in the RFQ.</w:t>
      </w:r>
    </w:p>
    <w:p w14:paraId="62086A6A" w14:textId="77777777" w:rsidR="00491CE6" w:rsidRDefault="00491CE6">
      <w:pPr>
        <w:pBdr>
          <w:bottom w:val="single" w:sz="4" w:space="4" w:color="1F5C99"/>
        </w:pBdr>
        <w:spacing w:before="80" w:after="80"/>
      </w:pPr>
    </w:p>
    <w:p w14:paraId="77E74EE7" w14:textId="77777777" w:rsidR="00491CE6" w:rsidRDefault="00D43535">
      <w:pPr>
        <w:spacing w:before="200" w:after="60"/>
      </w:pPr>
      <w:r>
        <w:rPr>
          <w:b/>
          <w:bCs/>
          <w:color w:val="1F5C99"/>
        </w:rPr>
        <w:t xml:space="preserve">Q: </w:t>
      </w:r>
      <w:r>
        <w:rPr>
          <w:b/>
          <w:bCs/>
        </w:rPr>
        <w:t>5.  Section 8 appears to contain conflicting information regarding contract award — is the Town seeking to award one or two multi-year, multi-project contracts, or individual contracts for each CIP project? Additionally, negotiations typically require a completed Scope of Work following an FAA scoping meeting. Can you clarify?</w:t>
      </w:r>
    </w:p>
    <w:p w14:paraId="7FCAF16B" w14:textId="77777777" w:rsidR="00491CE6" w:rsidRDefault="00D43535">
      <w:pPr>
        <w:spacing w:before="60" w:after="160"/>
        <w:ind w:left="360"/>
      </w:pPr>
      <w:r>
        <w:rPr>
          <w:b/>
          <w:bCs/>
          <w:color w:val="2E7D32"/>
        </w:rPr>
        <w:t xml:space="preserve">A: </w:t>
      </w:r>
      <w:r>
        <w:t>The Town is seeking to award contracts to one or more firms based on technical qualifications for planning or engineering projects. Submissions will be scored on: (a) staff qualifications, (b) firm experience, (c) understanding of and proposed approach to the project, and (d) ability to control project schedule and costs. Individual project scopes will be developed in coordination with the FAA following award.</w:t>
      </w:r>
    </w:p>
    <w:p w14:paraId="279C9FAB" w14:textId="77777777" w:rsidR="00491CE6" w:rsidRDefault="00491CE6">
      <w:pPr>
        <w:pBdr>
          <w:bottom w:val="single" w:sz="4" w:space="4" w:color="1F5C99"/>
        </w:pBdr>
        <w:spacing w:before="80" w:after="80"/>
      </w:pPr>
    </w:p>
    <w:p w14:paraId="3EA61819" w14:textId="77777777" w:rsidR="00491CE6" w:rsidRDefault="00D43535">
      <w:pPr>
        <w:spacing w:before="200" w:after="60"/>
      </w:pPr>
      <w:r>
        <w:rPr>
          <w:b/>
          <w:bCs/>
          <w:color w:val="1F5C99"/>
        </w:rPr>
        <w:t xml:space="preserve">Q: </w:t>
      </w:r>
      <w:r>
        <w:rPr>
          <w:b/>
          <w:bCs/>
        </w:rPr>
        <w:t>6.  Section 9 states that the Highest Qualified Responder will be asked to submit a Cost Proposal within five (5) business days of the request. None of the projects have been scoped with the FAA at this time — how should this be interpreted?</w:t>
      </w:r>
    </w:p>
    <w:p w14:paraId="04F73AAC" w14:textId="77777777" w:rsidR="00491CE6" w:rsidRDefault="00D43535">
      <w:pPr>
        <w:spacing w:before="60" w:after="160"/>
        <w:ind w:left="360"/>
      </w:pPr>
      <w:r>
        <w:rPr>
          <w:b/>
          <w:bCs/>
          <w:color w:val="2E7D32"/>
        </w:rPr>
        <w:t xml:space="preserve">A: </w:t>
      </w:r>
      <w:r>
        <w:t>On advice from the FAA, this section (Section 9 Cost Proposal timeline) will be stricken from the RFQ.</w:t>
      </w:r>
    </w:p>
    <w:p w14:paraId="1B9285D2" w14:textId="77777777" w:rsidR="00491CE6" w:rsidRDefault="00491CE6">
      <w:pPr>
        <w:pBdr>
          <w:bottom w:val="single" w:sz="4" w:space="4" w:color="1F5C99"/>
        </w:pBdr>
        <w:spacing w:before="80" w:after="80"/>
      </w:pPr>
    </w:p>
    <w:p w14:paraId="5F2478A4" w14:textId="77777777" w:rsidR="00491CE6" w:rsidRDefault="00D43535">
      <w:pPr>
        <w:spacing w:before="200" w:after="60"/>
      </w:pPr>
      <w:r>
        <w:rPr>
          <w:b/>
          <w:bCs/>
          <w:color w:val="1F5C99"/>
        </w:rPr>
        <w:t xml:space="preserve">Q: </w:t>
      </w:r>
      <w:r>
        <w:rPr>
          <w:b/>
          <w:bCs/>
        </w:rPr>
        <w:t>7.  Section 10 — Will the Town assign all CIP projects to awarded consultants at the time of contract award, consistent with FAA requirements? If two consultants are awarded, will each be assigned specific CIP projects at that time?</w:t>
      </w:r>
    </w:p>
    <w:p w14:paraId="153523FE" w14:textId="76E20B4A" w:rsidR="00491CE6" w:rsidRDefault="00D43535">
      <w:pPr>
        <w:spacing w:before="60" w:after="160"/>
        <w:ind w:left="360"/>
      </w:pPr>
      <w:r>
        <w:rPr>
          <w:b/>
          <w:bCs/>
          <w:color w:val="2E7D32"/>
        </w:rPr>
        <w:t xml:space="preserve">A: </w:t>
      </w:r>
      <w:r>
        <w:t xml:space="preserve">Yes. It is the Town's intent to assign specific CIP projects to awarded consultants at the time of contract award. </w:t>
      </w:r>
    </w:p>
    <w:p w14:paraId="32B276C7" w14:textId="77777777" w:rsidR="00491CE6" w:rsidRDefault="00491CE6">
      <w:pPr>
        <w:pBdr>
          <w:bottom w:val="single" w:sz="4" w:space="4" w:color="1F5C99"/>
        </w:pBdr>
        <w:spacing w:before="80" w:after="80"/>
      </w:pPr>
    </w:p>
    <w:p w14:paraId="03839048" w14:textId="77777777" w:rsidR="00491CE6" w:rsidRDefault="00D43535">
      <w:pPr>
        <w:spacing w:before="200" w:after="60"/>
      </w:pPr>
      <w:r>
        <w:rPr>
          <w:b/>
          <w:bCs/>
          <w:color w:val="1F5C99"/>
        </w:rPr>
        <w:t xml:space="preserve">Q: </w:t>
      </w:r>
      <w:r>
        <w:rPr>
          <w:b/>
          <w:bCs/>
        </w:rPr>
        <w:t>8.  Section 11E references Maine DOT's current Consultant General Conditions as included with the RFQ. They were not found. Will they be made available?</w:t>
      </w:r>
    </w:p>
    <w:p w14:paraId="6942C16B" w14:textId="77777777" w:rsidR="00491CE6" w:rsidRDefault="00D43535">
      <w:pPr>
        <w:spacing w:before="60" w:after="160"/>
        <w:ind w:left="360"/>
      </w:pPr>
      <w:r>
        <w:rPr>
          <w:b/>
          <w:bCs/>
          <w:color w:val="2E7D32"/>
        </w:rPr>
        <w:t xml:space="preserve">A: </w:t>
      </w:r>
      <w:r>
        <w:t>Maine DOT's current Consultant General Conditions will be posted to the Town website for download.</w:t>
      </w:r>
    </w:p>
    <w:p w14:paraId="4103069B" w14:textId="77777777" w:rsidR="00491CE6" w:rsidRDefault="00491CE6">
      <w:pPr>
        <w:pBdr>
          <w:bottom w:val="single" w:sz="4" w:space="4" w:color="1F5C99"/>
        </w:pBdr>
        <w:spacing w:before="80" w:after="80"/>
      </w:pPr>
    </w:p>
    <w:p w14:paraId="2C212EE5" w14:textId="77777777" w:rsidR="00491CE6" w:rsidRDefault="00D43535">
      <w:pPr>
        <w:spacing w:before="200" w:after="60"/>
      </w:pPr>
      <w:r>
        <w:rPr>
          <w:b/>
          <w:bCs/>
          <w:color w:val="1F5C99"/>
        </w:rPr>
        <w:t xml:space="preserve">Q: </w:t>
      </w:r>
      <w:r>
        <w:rPr>
          <w:b/>
          <w:bCs/>
        </w:rPr>
        <w:t>9.  Is there a page limit, minimum font size, or other formatting requirements for the Technical Submission?</w:t>
      </w:r>
    </w:p>
    <w:p w14:paraId="1010BEB7" w14:textId="77777777" w:rsidR="00491CE6" w:rsidRDefault="00D43535">
      <w:pPr>
        <w:spacing w:before="60" w:after="160"/>
        <w:ind w:left="360"/>
      </w:pPr>
      <w:r>
        <w:rPr>
          <w:b/>
          <w:bCs/>
          <w:color w:val="2E7D32"/>
        </w:rPr>
        <w:t xml:space="preserve">A: </w:t>
      </w:r>
      <w:r>
        <w:t>There are no mandatory page or font restrictions. Responders are encouraged to be succinct.</w:t>
      </w:r>
    </w:p>
    <w:p w14:paraId="6D713CCF" w14:textId="77777777" w:rsidR="00491CE6" w:rsidRDefault="00491CE6">
      <w:pPr>
        <w:pBdr>
          <w:bottom w:val="single" w:sz="4" w:space="4" w:color="1F5C99"/>
        </w:pBdr>
        <w:spacing w:before="80" w:after="80"/>
      </w:pPr>
    </w:p>
    <w:p w14:paraId="2C36B23C" w14:textId="77777777" w:rsidR="00491CE6" w:rsidRDefault="00D43535">
      <w:pPr>
        <w:spacing w:before="200" w:after="60"/>
      </w:pPr>
      <w:r>
        <w:rPr>
          <w:b/>
          <w:bCs/>
          <w:color w:val="1F5C99"/>
        </w:rPr>
        <w:t xml:space="preserve">Q: </w:t>
      </w:r>
      <w:r>
        <w:rPr>
          <w:b/>
          <w:bCs/>
        </w:rPr>
        <w:t>10.  Is there a file size limit for emailing the Technical Submission? Are links to OneDrive or FTP sites acceptable?</w:t>
      </w:r>
    </w:p>
    <w:p w14:paraId="496063F7" w14:textId="77777777" w:rsidR="00491CE6" w:rsidRDefault="00D43535">
      <w:pPr>
        <w:spacing w:before="60" w:after="160"/>
        <w:ind w:left="360"/>
      </w:pPr>
      <w:r>
        <w:rPr>
          <w:b/>
          <w:bCs/>
          <w:color w:val="2E7D32"/>
        </w:rPr>
        <w:t xml:space="preserve">A: </w:t>
      </w:r>
      <w:r>
        <w:t>The maximum email file size is 10 MB. If your submission is expected to exceed 10 MB, please request access to a OneDrive shared folder — there is no size limit on OneDrive. Requests should be directed to the RFQ Coordinator.</w:t>
      </w:r>
    </w:p>
    <w:p w14:paraId="11E7CF1A" w14:textId="77777777" w:rsidR="00491CE6" w:rsidRDefault="00491CE6">
      <w:pPr>
        <w:pBdr>
          <w:bottom w:val="single" w:sz="4" w:space="4" w:color="1F5C99"/>
        </w:pBdr>
        <w:spacing w:before="80" w:after="80"/>
      </w:pPr>
    </w:p>
    <w:p w14:paraId="0500E028" w14:textId="77777777" w:rsidR="00491CE6" w:rsidRDefault="00D43535">
      <w:pPr>
        <w:spacing w:before="200" w:after="60"/>
      </w:pPr>
      <w:r>
        <w:rPr>
          <w:b/>
          <w:bCs/>
          <w:color w:val="1F5C99"/>
        </w:rPr>
        <w:t xml:space="preserve">Q: </w:t>
      </w:r>
      <w:r>
        <w:rPr>
          <w:b/>
          <w:bCs/>
        </w:rPr>
        <w:t>11.  Is there a specific webpage on the Town's website where firms can monitor for amendments and answers to questions?</w:t>
      </w:r>
    </w:p>
    <w:p w14:paraId="0DA40B7E" w14:textId="77777777" w:rsidR="00491CE6" w:rsidRDefault="00D43535">
      <w:pPr>
        <w:spacing w:before="60" w:after="160"/>
        <w:ind w:left="360"/>
      </w:pPr>
      <w:r>
        <w:rPr>
          <w:b/>
          <w:bCs/>
          <w:color w:val="2E7D32"/>
        </w:rPr>
        <w:t xml:space="preserve">A: </w:t>
      </w:r>
      <w:r>
        <w:t>All Q&amp;As and amendments will be posted with the RFQ documents on the Town of Bethel website.</w:t>
      </w:r>
    </w:p>
    <w:p w14:paraId="695993A6" w14:textId="77777777" w:rsidR="00491CE6" w:rsidRDefault="00491CE6">
      <w:pPr>
        <w:pBdr>
          <w:bottom w:val="single" w:sz="4" w:space="4" w:color="1F5C99"/>
        </w:pBdr>
        <w:spacing w:before="80" w:after="80"/>
      </w:pPr>
    </w:p>
    <w:p w14:paraId="2C822DF5" w14:textId="77777777" w:rsidR="00491CE6" w:rsidRDefault="00D43535">
      <w:pPr>
        <w:spacing w:before="200" w:after="60"/>
      </w:pPr>
      <w:r>
        <w:rPr>
          <w:b/>
          <w:bCs/>
          <w:color w:val="1F5C99"/>
        </w:rPr>
        <w:t xml:space="preserve">Q: </w:t>
      </w:r>
      <w:r>
        <w:rPr>
          <w:b/>
          <w:bCs/>
        </w:rPr>
        <w:t>12.  Will the Town conduct interviews with the top two or three highest-scoring firms as part of the selection process?</w:t>
      </w:r>
    </w:p>
    <w:p w14:paraId="1929E400" w14:textId="77777777" w:rsidR="00491CE6" w:rsidRDefault="00D43535">
      <w:pPr>
        <w:spacing w:before="60" w:after="160"/>
        <w:ind w:left="360"/>
      </w:pPr>
      <w:r>
        <w:rPr>
          <w:b/>
          <w:bCs/>
          <w:color w:val="2E7D32"/>
        </w:rPr>
        <w:t xml:space="preserve">A: </w:t>
      </w:r>
      <w:r>
        <w:t>To be determined (TBD).</w:t>
      </w:r>
    </w:p>
    <w:p w14:paraId="771C9F3A" w14:textId="77777777" w:rsidR="00491CE6" w:rsidRDefault="00491CE6">
      <w:pPr>
        <w:pBdr>
          <w:bottom w:val="single" w:sz="4" w:space="4" w:color="1F5C99"/>
        </w:pBdr>
        <w:spacing w:before="80" w:after="80"/>
      </w:pPr>
    </w:p>
    <w:p w14:paraId="20155C00" w14:textId="77777777" w:rsidR="00491CE6" w:rsidRDefault="00D43535">
      <w:pPr>
        <w:spacing w:before="200" w:after="60"/>
      </w:pPr>
      <w:r>
        <w:rPr>
          <w:b/>
          <w:bCs/>
          <w:color w:val="1F5C99"/>
        </w:rPr>
        <w:t xml:space="preserve">Q: </w:t>
      </w:r>
      <w:r>
        <w:rPr>
          <w:b/>
          <w:bCs/>
        </w:rPr>
        <w:t>13.  Does the Town have a standard on-call engineering contract that respondents may review?</w:t>
      </w:r>
    </w:p>
    <w:p w14:paraId="6E771D13" w14:textId="77777777" w:rsidR="00491CE6" w:rsidRDefault="00D43535">
      <w:pPr>
        <w:spacing w:before="60" w:after="160"/>
        <w:ind w:left="360"/>
      </w:pPr>
      <w:r>
        <w:rPr>
          <w:b/>
          <w:bCs/>
          <w:color w:val="2E7D32"/>
        </w:rPr>
        <w:t xml:space="preserve">A: </w:t>
      </w:r>
      <w:r>
        <w:t>No. The Town does not have a standard on-call engineering contract.</w:t>
      </w:r>
    </w:p>
    <w:p w14:paraId="6AA36121" w14:textId="77777777" w:rsidR="00491CE6" w:rsidRDefault="00491CE6">
      <w:pPr>
        <w:pBdr>
          <w:bottom w:val="single" w:sz="4" w:space="4" w:color="1F5C99"/>
        </w:pBdr>
        <w:spacing w:before="80" w:after="80"/>
      </w:pPr>
    </w:p>
    <w:p w14:paraId="18D2192A" w14:textId="77777777" w:rsidR="00491CE6" w:rsidRDefault="00D43535">
      <w:pPr>
        <w:spacing w:before="200" w:after="60"/>
      </w:pPr>
      <w:r>
        <w:rPr>
          <w:b/>
          <w:bCs/>
          <w:color w:val="1F5C99"/>
        </w:rPr>
        <w:t xml:space="preserve">Q: </w:t>
      </w:r>
      <w:r>
        <w:rPr>
          <w:b/>
          <w:bCs/>
        </w:rPr>
        <w:t>14.  Is airport planning (e.g., ALP updates beyond pen-and-ink changes) included in the scope of this RFQ?</w:t>
      </w:r>
    </w:p>
    <w:p w14:paraId="4F1C227E" w14:textId="77777777" w:rsidR="00491CE6" w:rsidRDefault="00D43535">
      <w:pPr>
        <w:spacing w:before="60" w:after="160"/>
        <w:ind w:left="360"/>
      </w:pPr>
      <w:r>
        <w:rPr>
          <w:b/>
          <w:bCs/>
          <w:color w:val="2E7D32"/>
        </w:rPr>
        <w:t xml:space="preserve">A: </w:t>
      </w:r>
      <w:r>
        <w:t>No. Airport planning and ALP updates beyond pen-and-ink changes are not included in the scope of this RFQ.</w:t>
      </w:r>
    </w:p>
    <w:p w14:paraId="05642B7F" w14:textId="77777777" w:rsidR="00491CE6" w:rsidRDefault="00491CE6">
      <w:pPr>
        <w:pBdr>
          <w:bottom w:val="single" w:sz="4" w:space="4" w:color="1F5C99"/>
        </w:pBdr>
        <w:spacing w:before="80" w:after="80"/>
      </w:pPr>
    </w:p>
    <w:p w14:paraId="6EE553F1" w14:textId="77777777" w:rsidR="00491CE6" w:rsidRDefault="00D43535">
      <w:pPr>
        <w:spacing w:before="200" w:after="60"/>
      </w:pPr>
      <w:r>
        <w:rPr>
          <w:b/>
          <w:bCs/>
          <w:color w:val="1F5C99"/>
        </w:rPr>
        <w:t xml:space="preserve">Q: </w:t>
      </w:r>
      <w:r>
        <w:rPr>
          <w:b/>
          <w:bCs/>
        </w:rPr>
        <w:t>15.  Would the Town consider offering a site visit to the airport prior to the proposal deadline?</w:t>
      </w:r>
    </w:p>
    <w:p w14:paraId="6ED23637" w14:textId="24BE8D40" w:rsidR="00491CE6" w:rsidRDefault="00D43535">
      <w:pPr>
        <w:spacing w:before="60" w:after="160"/>
        <w:ind w:left="360"/>
      </w:pPr>
      <w:r>
        <w:rPr>
          <w:b/>
          <w:bCs/>
          <w:color w:val="2E7D32"/>
        </w:rPr>
        <w:t xml:space="preserve">A: </w:t>
      </w:r>
      <w:r>
        <w:t xml:space="preserve">The Town is not offering site visits to respondents at this stage of the process. </w:t>
      </w:r>
    </w:p>
    <w:p w14:paraId="1176CAF4" w14:textId="77777777" w:rsidR="00491CE6" w:rsidRDefault="00491CE6">
      <w:pPr>
        <w:pBdr>
          <w:bottom w:val="single" w:sz="4" w:space="4" w:color="1F5C99"/>
        </w:pBdr>
        <w:spacing w:before="80" w:after="80"/>
      </w:pPr>
    </w:p>
    <w:p w14:paraId="1554A692" w14:textId="77777777" w:rsidR="00491CE6" w:rsidRDefault="00D43535">
      <w:pPr>
        <w:spacing w:before="240"/>
        <w:jc w:val="center"/>
      </w:pPr>
      <w:r>
        <w:rPr>
          <w:i/>
          <w:iCs/>
          <w:color w:val="888888"/>
          <w:sz w:val="20"/>
          <w:szCs w:val="20"/>
        </w:rPr>
        <w:t>End of Questions &amp; Answers — RFQ #0B1</w:t>
      </w:r>
    </w:p>
    <w:sectPr w:rsidR="00491CE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20B07"/>
    <w:multiLevelType w:val="hybridMultilevel"/>
    <w:tmpl w:val="61F67266"/>
    <w:lvl w:ilvl="0" w:tplc="4D1ECA1C">
      <w:start w:val="1"/>
      <w:numFmt w:val="bullet"/>
      <w:lvlText w:val="●"/>
      <w:lvlJc w:val="left"/>
      <w:pPr>
        <w:ind w:left="720" w:hanging="360"/>
      </w:pPr>
    </w:lvl>
    <w:lvl w:ilvl="1" w:tplc="3CFE4452">
      <w:start w:val="1"/>
      <w:numFmt w:val="bullet"/>
      <w:lvlText w:val="○"/>
      <w:lvlJc w:val="left"/>
      <w:pPr>
        <w:ind w:left="1440" w:hanging="360"/>
      </w:pPr>
    </w:lvl>
    <w:lvl w:ilvl="2" w:tplc="4EAA63A4">
      <w:start w:val="1"/>
      <w:numFmt w:val="bullet"/>
      <w:lvlText w:val="■"/>
      <w:lvlJc w:val="left"/>
      <w:pPr>
        <w:ind w:left="2160" w:hanging="360"/>
      </w:pPr>
    </w:lvl>
    <w:lvl w:ilvl="3" w:tplc="F1F04C94">
      <w:start w:val="1"/>
      <w:numFmt w:val="bullet"/>
      <w:lvlText w:val="●"/>
      <w:lvlJc w:val="left"/>
      <w:pPr>
        <w:ind w:left="2880" w:hanging="360"/>
      </w:pPr>
    </w:lvl>
    <w:lvl w:ilvl="4" w:tplc="3CF87716">
      <w:start w:val="1"/>
      <w:numFmt w:val="bullet"/>
      <w:lvlText w:val="○"/>
      <w:lvlJc w:val="left"/>
      <w:pPr>
        <w:ind w:left="3600" w:hanging="360"/>
      </w:pPr>
    </w:lvl>
    <w:lvl w:ilvl="5" w:tplc="29EE0A7C">
      <w:start w:val="1"/>
      <w:numFmt w:val="bullet"/>
      <w:lvlText w:val="■"/>
      <w:lvlJc w:val="left"/>
      <w:pPr>
        <w:ind w:left="4320" w:hanging="360"/>
      </w:pPr>
    </w:lvl>
    <w:lvl w:ilvl="6" w:tplc="9154C1FA">
      <w:start w:val="1"/>
      <w:numFmt w:val="bullet"/>
      <w:lvlText w:val="●"/>
      <w:lvlJc w:val="left"/>
      <w:pPr>
        <w:ind w:left="5040" w:hanging="360"/>
      </w:pPr>
    </w:lvl>
    <w:lvl w:ilvl="7" w:tplc="0F06B6C4">
      <w:start w:val="1"/>
      <w:numFmt w:val="bullet"/>
      <w:lvlText w:val="●"/>
      <w:lvlJc w:val="left"/>
      <w:pPr>
        <w:ind w:left="5760" w:hanging="360"/>
      </w:pPr>
    </w:lvl>
    <w:lvl w:ilvl="8" w:tplc="038C94DC">
      <w:start w:val="1"/>
      <w:numFmt w:val="bullet"/>
      <w:lvlText w:val="●"/>
      <w:lvlJc w:val="left"/>
      <w:pPr>
        <w:ind w:left="6480" w:hanging="360"/>
      </w:pPr>
    </w:lvl>
  </w:abstractNum>
  <w:num w:numId="1" w16cid:durableId="619260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E6"/>
    <w:rsid w:val="0040703D"/>
    <w:rsid w:val="00491CE6"/>
    <w:rsid w:val="005D1321"/>
    <w:rsid w:val="00C66615"/>
    <w:rsid w:val="00CE4637"/>
    <w:rsid w:val="00D4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B46"/>
  <w15:docId w15:val="{A09F9F2C-266F-CA4D-85B9-4927E9B0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5C99"/>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Tracy Walker</cp:lastModifiedBy>
  <cp:revision>2</cp:revision>
  <cp:lastPrinted>2026-04-10T18:51:00Z</cp:lastPrinted>
  <dcterms:created xsi:type="dcterms:W3CDTF">2026-04-13T12:17:00Z</dcterms:created>
  <dcterms:modified xsi:type="dcterms:W3CDTF">2026-04-13T12:17:00Z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c012bb54-23c6-4e2e-8a15-16d976a54f2e</vt:lpwstr>
  </property>
</Properties>
</file>